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7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64"/>
        <w:gridCol w:w="611"/>
        <w:gridCol w:w="5120"/>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b/>
                <w:bCs/>
                <w:color w:val="auto"/>
                <w:sz w:val="24"/>
                <w:szCs w:val="24"/>
              </w:rPr>
            </w:pPr>
            <w:r>
              <w:rPr>
                <w:rFonts w:hint="eastAsia"/>
                <w:b/>
                <w:bCs/>
                <w:color w:val="auto"/>
                <w:sz w:val="24"/>
                <w:szCs w:val="24"/>
              </w:rPr>
              <w:t>序号</w:t>
            </w:r>
          </w:p>
        </w:tc>
        <w:tc>
          <w:tcPr>
            <w:tcW w:w="1264" w:type="dxa"/>
            <w:vAlign w:val="center"/>
          </w:tcPr>
          <w:p>
            <w:pPr>
              <w:pStyle w:val="20"/>
              <w:spacing w:line="360" w:lineRule="auto"/>
              <w:jc w:val="center"/>
              <w:rPr>
                <w:b/>
                <w:bCs/>
                <w:color w:val="auto"/>
                <w:sz w:val="24"/>
                <w:szCs w:val="24"/>
              </w:rPr>
            </w:pPr>
            <w:r>
              <w:rPr>
                <w:rFonts w:hint="eastAsia"/>
                <w:b/>
                <w:bCs/>
                <w:color w:val="auto"/>
                <w:sz w:val="24"/>
                <w:szCs w:val="24"/>
              </w:rPr>
              <w:t>评分因素及权重</w:t>
            </w:r>
          </w:p>
        </w:tc>
        <w:tc>
          <w:tcPr>
            <w:tcW w:w="611" w:type="dxa"/>
            <w:vAlign w:val="center"/>
          </w:tcPr>
          <w:p>
            <w:pPr>
              <w:pStyle w:val="20"/>
              <w:spacing w:line="360" w:lineRule="auto"/>
              <w:jc w:val="center"/>
              <w:rPr>
                <w:b/>
                <w:bCs/>
                <w:color w:val="auto"/>
                <w:sz w:val="24"/>
                <w:szCs w:val="24"/>
              </w:rPr>
            </w:pPr>
            <w:r>
              <w:rPr>
                <w:rFonts w:hint="eastAsia"/>
                <w:b/>
                <w:bCs/>
                <w:color w:val="auto"/>
                <w:sz w:val="24"/>
                <w:szCs w:val="24"/>
              </w:rPr>
              <w:t>分值</w:t>
            </w:r>
          </w:p>
        </w:tc>
        <w:tc>
          <w:tcPr>
            <w:tcW w:w="5120" w:type="dxa"/>
            <w:vAlign w:val="center"/>
          </w:tcPr>
          <w:p>
            <w:pPr>
              <w:pStyle w:val="20"/>
              <w:spacing w:line="360" w:lineRule="auto"/>
              <w:jc w:val="center"/>
              <w:rPr>
                <w:b/>
                <w:bCs/>
                <w:color w:val="auto"/>
                <w:sz w:val="24"/>
                <w:szCs w:val="24"/>
              </w:rPr>
            </w:pPr>
            <w:r>
              <w:rPr>
                <w:rFonts w:hint="eastAsia"/>
                <w:b/>
                <w:bCs/>
                <w:color w:val="auto"/>
                <w:sz w:val="24"/>
                <w:szCs w:val="24"/>
              </w:rPr>
              <w:t>评分标准</w:t>
            </w:r>
          </w:p>
        </w:tc>
        <w:tc>
          <w:tcPr>
            <w:tcW w:w="1148" w:type="dxa"/>
            <w:vAlign w:val="center"/>
          </w:tcPr>
          <w:p>
            <w:pPr>
              <w:pStyle w:val="20"/>
              <w:spacing w:line="360" w:lineRule="auto"/>
              <w:jc w:val="center"/>
              <w:rPr>
                <w:b/>
                <w:bCs/>
                <w:color w:val="auto"/>
                <w:sz w:val="24"/>
                <w:szCs w:val="24"/>
              </w:rPr>
            </w:pPr>
            <w:r>
              <w:rPr>
                <w:rFonts w:hint="eastAsia"/>
                <w:b/>
                <w:bCs/>
                <w:color w:val="auto"/>
                <w:sz w:val="24"/>
                <w:szCs w:val="24"/>
                <w:lang w:val="zh-TW"/>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color w:val="auto"/>
                <w:sz w:val="24"/>
                <w:szCs w:val="24"/>
              </w:rPr>
            </w:pPr>
            <w:r>
              <w:rPr>
                <w:rFonts w:hint="eastAsia"/>
                <w:color w:val="auto"/>
                <w:sz w:val="24"/>
                <w:szCs w:val="24"/>
              </w:rPr>
              <w:t>1</w:t>
            </w:r>
          </w:p>
        </w:tc>
        <w:tc>
          <w:tcPr>
            <w:tcW w:w="1264" w:type="dxa"/>
            <w:vAlign w:val="center"/>
          </w:tcPr>
          <w:p>
            <w:pPr>
              <w:pStyle w:val="20"/>
              <w:spacing w:line="360" w:lineRule="auto"/>
              <w:jc w:val="center"/>
              <w:rPr>
                <w:rFonts w:cs="仿宋"/>
                <w:sz w:val="24"/>
                <w:szCs w:val="24"/>
              </w:rPr>
            </w:pPr>
            <w:r>
              <w:rPr>
                <w:rFonts w:hint="eastAsia" w:cs="仿宋"/>
                <w:sz w:val="24"/>
                <w:szCs w:val="24"/>
              </w:rPr>
              <w:t>报价</w:t>
            </w:r>
          </w:p>
          <w:p>
            <w:pPr>
              <w:pStyle w:val="20"/>
              <w:spacing w:line="360" w:lineRule="auto"/>
              <w:jc w:val="center"/>
              <w:rPr>
                <w:color w:val="auto"/>
                <w:sz w:val="24"/>
                <w:szCs w:val="24"/>
              </w:rPr>
            </w:pPr>
            <w:r>
              <w:rPr>
                <w:rFonts w:hint="eastAsia" w:cs="仿宋"/>
                <w:sz w:val="24"/>
                <w:szCs w:val="24"/>
              </w:rPr>
              <w:t>30%</w:t>
            </w:r>
          </w:p>
        </w:tc>
        <w:tc>
          <w:tcPr>
            <w:tcW w:w="611" w:type="dxa"/>
            <w:vAlign w:val="center"/>
          </w:tcPr>
          <w:p>
            <w:pPr>
              <w:pStyle w:val="20"/>
              <w:spacing w:line="360" w:lineRule="auto"/>
              <w:jc w:val="center"/>
              <w:rPr>
                <w:color w:val="auto"/>
                <w:sz w:val="24"/>
                <w:szCs w:val="24"/>
              </w:rPr>
            </w:pPr>
            <w:r>
              <w:rPr>
                <w:rFonts w:hint="eastAsia"/>
                <w:color w:val="auto"/>
                <w:sz w:val="24"/>
                <w:szCs w:val="24"/>
              </w:rPr>
              <w:t>30分</w:t>
            </w:r>
          </w:p>
        </w:tc>
        <w:tc>
          <w:tcPr>
            <w:tcW w:w="5120" w:type="dxa"/>
            <w:vAlign w:val="center"/>
          </w:tcPr>
          <w:p>
            <w:pPr>
              <w:pStyle w:val="20"/>
              <w:spacing w:line="360" w:lineRule="auto"/>
              <w:ind w:firstLine="240" w:firstLineChars="100"/>
              <w:rPr>
                <w:b/>
                <w:bCs/>
                <w:color w:val="auto"/>
                <w:sz w:val="24"/>
                <w:szCs w:val="24"/>
              </w:rPr>
            </w:pPr>
            <w:r>
              <w:rPr>
                <w:sz w:val="24"/>
                <w:szCs w:val="24"/>
              </w:rPr>
              <w:t>满足招标文件要求且投标价格最低的投标报价为评标基准价，其价格分为满分。其他投标人的价格分统一按照下列公式计算：投标报价得分=(评标基准价／投标报价)*30分。</w:t>
            </w:r>
          </w:p>
        </w:tc>
        <w:tc>
          <w:tcPr>
            <w:tcW w:w="1148" w:type="dxa"/>
            <w:vAlign w:val="center"/>
          </w:tcPr>
          <w:p>
            <w:pPr>
              <w:pStyle w:val="20"/>
              <w:spacing w:line="360" w:lineRule="auto"/>
              <w:jc w:val="center"/>
              <w:rPr>
                <w:b/>
                <w:bCs/>
                <w:color w:val="auto"/>
                <w:sz w:val="24"/>
                <w:szCs w:val="24"/>
                <w:lang w:val="zh-TW"/>
              </w:rPr>
            </w:pPr>
            <w:r>
              <w:rPr>
                <w:rFonts w:hint="eastAsia"/>
                <w:color w:val="auto"/>
                <w:sz w:val="24"/>
                <w:szCs w:val="24"/>
              </w:rPr>
              <w:t>共同评审因素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color w:val="auto"/>
                <w:sz w:val="24"/>
                <w:szCs w:val="24"/>
              </w:rPr>
            </w:pPr>
            <w:r>
              <w:rPr>
                <w:rFonts w:hint="eastAsia"/>
                <w:color w:val="auto"/>
                <w:sz w:val="24"/>
                <w:szCs w:val="24"/>
              </w:rPr>
              <w:t>2</w:t>
            </w:r>
          </w:p>
        </w:tc>
        <w:tc>
          <w:tcPr>
            <w:tcW w:w="1264" w:type="dxa"/>
            <w:vAlign w:val="center"/>
          </w:tcPr>
          <w:p>
            <w:pPr>
              <w:pStyle w:val="20"/>
              <w:spacing w:line="360" w:lineRule="auto"/>
              <w:jc w:val="center"/>
              <w:rPr>
                <w:rFonts w:cs="仿宋"/>
                <w:sz w:val="24"/>
                <w:szCs w:val="24"/>
              </w:rPr>
            </w:pPr>
            <w:r>
              <w:rPr>
                <w:rFonts w:hint="eastAsia" w:cs="仿宋"/>
                <w:sz w:val="24"/>
                <w:szCs w:val="24"/>
              </w:rPr>
              <w:t>技术响应情况</w:t>
            </w:r>
          </w:p>
          <w:p>
            <w:pPr>
              <w:pStyle w:val="20"/>
              <w:spacing w:line="360" w:lineRule="auto"/>
              <w:jc w:val="center"/>
              <w:rPr>
                <w:color w:val="auto"/>
                <w:sz w:val="24"/>
                <w:szCs w:val="24"/>
              </w:rPr>
            </w:pPr>
            <w:r>
              <w:rPr>
                <w:rFonts w:hint="eastAsia" w:cs="仿宋"/>
                <w:sz w:val="24"/>
                <w:szCs w:val="24"/>
                <w:lang w:val="en-US" w:eastAsia="zh-CN"/>
              </w:rPr>
              <w:t>50</w:t>
            </w:r>
            <w:r>
              <w:rPr>
                <w:rFonts w:hint="eastAsia" w:cs="仿宋"/>
                <w:sz w:val="24"/>
                <w:szCs w:val="24"/>
              </w:rPr>
              <w:t>%</w:t>
            </w:r>
          </w:p>
        </w:tc>
        <w:tc>
          <w:tcPr>
            <w:tcW w:w="611" w:type="dxa"/>
            <w:vAlign w:val="center"/>
          </w:tcPr>
          <w:p>
            <w:pPr>
              <w:pStyle w:val="20"/>
              <w:spacing w:line="360" w:lineRule="auto"/>
              <w:jc w:val="center"/>
              <w:rPr>
                <w:color w:val="auto"/>
                <w:sz w:val="24"/>
                <w:szCs w:val="24"/>
              </w:rPr>
            </w:pPr>
            <w:r>
              <w:rPr>
                <w:rFonts w:hint="eastAsia"/>
                <w:color w:val="auto"/>
                <w:sz w:val="24"/>
                <w:szCs w:val="24"/>
                <w:lang w:val="en-US" w:eastAsia="zh-CN"/>
              </w:rPr>
              <w:t>50</w:t>
            </w:r>
            <w:r>
              <w:rPr>
                <w:rFonts w:hint="eastAsia"/>
                <w:color w:val="auto"/>
                <w:sz w:val="24"/>
                <w:szCs w:val="24"/>
              </w:rPr>
              <w:t>分</w:t>
            </w:r>
          </w:p>
        </w:tc>
        <w:tc>
          <w:tcPr>
            <w:tcW w:w="5120" w:type="dxa"/>
            <w:vAlign w:val="center"/>
          </w:tcPr>
          <w:p>
            <w:pPr>
              <w:spacing w:line="360" w:lineRule="auto"/>
              <w:ind w:firstLine="240" w:firstLineChars="100"/>
              <w:rPr>
                <w:rFonts w:ascii="宋体" w:hAnsi="宋体" w:cs="宋体"/>
                <w:sz w:val="24"/>
                <w:szCs w:val="24"/>
              </w:rPr>
            </w:pPr>
            <w:r>
              <w:rPr>
                <w:rFonts w:hint="default" w:ascii="宋体" w:hAnsi="宋体" w:eastAsia="宋体"/>
                <w:sz w:val="24"/>
                <w:szCs w:val="24"/>
              </w:rPr>
              <w:t>1</w:t>
            </w:r>
            <w:r>
              <w:rPr>
                <w:rFonts w:ascii="宋体" w:hAnsi="宋体" w:eastAsia="宋体"/>
                <w:sz w:val="24"/>
                <w:szCs w:val="24"/>
              </w:rPr>
              <w:t>、</w:t>
            </w:r>
            <w:r>
              <w:rPr>
                <w:rFonts w:ascii="宋体" w:hAnsi="宋体" w:eastAsia="宋体" w:cs="宋体"/>
                <w:sz w:val="24"/>
                <w:szCs w:val="24"/>
              </w:rPr>
              <w:t>投标人或制造商</w:t>
            </w:r>
            <w:bookmarkStart w:id="0" w:name="_GoBack"/>
            <w:bookmarkEnd w:id="0"/>
            <w:r>
              <w:rPr>
                <w:rFonts w:hint="eastAsia" w:ascii="宋体" w:hAnsi="宋体" w:cs="宋体"/>
                <w:sz w:val="24"/>
                <w:szCs w:val="24"/>
                <w:lang w:val="en-US" w:eastAsia="zh-CN"/>
              </w:rPr>
              <w:t>所投产品</w:t>
            </w:r>
            <w:r>
              <w:rPr>
                <w:rFonts w:hint="eastAsia" w:ascii="宋体" w:hAnsi="宋体" w:cs="宋体"/>
                <w:sz w:val="24"/>
                <w:szCs w:val="24"/>
              </w:rPr>
              <w:t>技术参数及要求（</w:t>
            </w:r>
            <w:r>
              <w:rPr>
                <w:rFonts w:hint="eastAsia" w:ascii="宋体" w:hAnsi="宋体" w:cs="宋体"/>
                <w:sz w:val="24"/>
                <w:szCs w:val="24"/>
                <w:lang w:val="en-US" w:eastAsia="zh-CN"/>
              </w:rPr>
              <w:t>118</w:t>
            </w:r>
            <w:r>
              <w:rPr>
                <w:rFonts w:hint="eastAsia" w:ascii="宋体" w:hAnsi="宋体" w:cs="宋体"/>
                <w:sz w:val="24"/>
                <w:szCs w:val="24"/>
              </w:rPr>
              <w:t>条）完全符合招标文件要求没有负偏离的得</w:t>
            </w:r>
            <w:r>
              <w:rPr>
                <w:rFonts w:hint="eastAsia" w:ascii="宋体" w:hAnsi="宋体" w:cs="宋体"/>
                <w:sz w:val="24"/>
                <w:szCs w:val="24"/>
                <w:lang w:val="en-US" w:eastAsia="zh-CN"/>
              </w:rPr>
              <w:t>50</w:t>
            </w:r>
            <w:r>
              <w:rPr>
                <w:rFonts w:hint="eastAsia" w:ascii="宋体" w:hAnsi="宋体" w:cs="宋体"/>
                <w:sz w:val="24"/>
                <w:szCs w:val="24"/>
              </w:rPr>
              <w:t xml:space="preserve">分； </w:t>
            </w:r>
          </w:p>
          <w:p>
            <w:pPr>
              <w:snapToGrid w:val="0"/>
              <w:spacing w:line="360" w:lineRule="auto"/>
              <w:ind w:firstLine="240"/>
              <w:rPr>
                <w:rFonts w:hint="eastAsia" w:ascii="宋体" w:hAnsi="宋体" w:cs="宋体"/>
                <w:color w:val="000000"/>
                <w:sz w:val="24"/>
                <w:szCs w:val="24"/>
              </w:rPr>
            </w:pPr>
            <w:r>
              <w:rPr>
                <w:rFonts w:hint="eastAsia" w:ascii="宋体" w:hAnsi="宋体" w:cs="宋体"/>
                <w:color w:val="000000"/>
                <w:sz w:val="24"/>
                <w:szCs w:val="24"/>
              </w:rPr>
              <w:t>带“▲”参数为重要</w:t>
            </w:r>
            <w:r>
              <w:rPr>
                <w:rFonts w:hint="eastAsia" w:cs="宋体"/>
                <w:color w:val="000000"/>
                <w:sz w:val="24"/>
                <w:szCs w:val="24"/>
              </w:rPr>
              <w:t>技术</w:t>
            </w:r>
            <w:r>
              <w:rPr>
                <w:rFonts w:hint="eastAsia" w:ascii="宋体" w:hAnsi="宋体" w:cs="宋体"/>
                <w:color w:val="000000"/>
                <w:sz w:val="24"/>
                <w:szCs w:val="24"/>
              </w:rPr>
              <w:t>参数（</w:t>
            </w:r>
            <w:r>
              <w:rPr>
                <w:rFonts w:hint="eastAsia" w:cs="宋体"/>
                <w:color w:val="000000"/>
                <w:sz w:val="24"/>
                <w:szCs w:val="24"/>
              </w:rPr>
              <w:t>1</w:t>
            </w:r>
            <w:r>
              <w:rPr>
                <w:rFonts w:hint="eastAsia" w:cs="宋体"/>
                <w:color w:val="000000"/>
                <w:sz w:val="24"/>
                <w:szCs w:val="24"/>
                <w:lang w:val="en-US" w:eastAsia="zh-CN"/>
              </w:rPr>
              <w:t>9</w:t>
            </w:r>
            <w:r>
              <w:rPr>
                <w:rFonts w:hint="eastAsia" w:ascii="宋体" w:hAnsi="宋体" w:cs="宋体"/>
                <w:color w:val="000000"/>
                <w:sz w:val="24"/>
                <w:szCs w:val="24"/>
              </w:rPr>
              <w:t>条），</w:t>
            </w:r>
            <w:r>
              <w:rPr>
                <w:rFonts w:hint="eastAsia" w:cs="宋体"/>
                <w:color w:val="000000"/>
                <w:sz w:val="24"/>
                <w:szCs w:val="24"/>
              </w:rPr>
              <w:t>每</w:t>
            </w:r>
            <w:r>
              <w:rPr>
                <w:rFonts w:hint="eastAsia" w:ascii="宋体" w:hAnsi="宋体" w:cs="宋体"/>
                <w:color w:val="000000"/>
                <w:sz w:val="24"/>
                <w:szCs w:val="24"/>
              </w:rPr>
              <w:t>有一项</w:t>
            </w:r>
            <w:r>
              <w:rPr>
                <w:rFonts w:hint="eastAsia" w:cs="宋体"/>
                <w:color w:val="000000"/>
                <w:sz w:val="24"/>
                <w:szCs w:val="24"/>
              </w:rPr>
              <w:t>负偏离</w:t>
            </w:r>
            <w:r>
              <w:rPr>
                <w:rFonts w:hint="eastAsia" w:ascii="宋体" w:hAnsi="宋体" w:cs="宋体"/>
                <w:color w:val="000000"/>
                <w:sz w:val="24"/>
                <w:szCs w:val="24"/>
              </w:rPr>
              <w:t>的扣</w:t>
            </w:r>
            <w:r>
              <w:rPr>
                <w:rFonts w:hint="eastAsia" w:cs="宋体"/>
                <w:color w:val="000000"/>
                <w:sz w:val="24"/>
                <w:szCs w:val="24"/>
                <w:lang w:val="en-US" w:eastAsia="zh-CN"/>
              </w:rPr>
              <w:t>1.85</w:t>
            </w:r>
            <w:r>
              <w:rPr>
                <w:rFonts w:hint="eastAsia" w:ascii="宋体" w:hAnsi="宋体" w:cs="宋体"/>
                <w:color w:val="000000"/>
                <w:sz w:val="24"/>
                <w:szCs w:val="24"/>
              </w:rPr>
              <w:t>分，扣完为止；</w:t>
            </w:r>
          </w:p>
          <w:p>
            <w:pPr>
              <w:snapToGrid w:val="0"/>
              <w:spacing w:line="360" w:lineRule="auto"/>
              <w:ind w:firstLine="240"/>
              <w:rPr>
                <w:rFonts w:hint="default" w:ascii="宋体" w:hAnsi="宋体" w:eastAsia="宋体"/>
                <w:sz w:val="24"/>
                <w:szCs w:val="24"/>
              </w:rPr>
            </w:pPr>
            <w:r>
              <w:rPr>
                <w:rFonts w:ascii="宋体" w:hAnsi="宋体" w:eastAsia="宋体"/>
                <w:sz w:val="24"/>
                <w:szCs w:val="24"/>
              </w:rPr>
              <w:t>（说明：标注“▲”条款的技术参数投标人须提供第三方检测机构出具的抽样检测报告复印件加以佐证，否则不予得分，检测报告需带有CMA标志，并加盖投标人公章。招标文件主要技术参数标注“▲”条款仅作为评分项，不作为实质性要求）。</w:t>
            </w:r>
          </w:p>
          <w:p>
            <w:pPr>
              <w:snapToGrid w:val="0"/>
              <w:spacing w:line="360" w:lineRule="auto"/>
              <w:ind w:firstLine="240"/>
              <w:rPr>
                <w:rFonts w:ascii="宋体" w:hAnsi="宋体" w:cs="宋体"/>
                <w:color w:val="000000"/>
                <w:sz w:val="24"/>
                <w:szCs w:val="24"/>
              </w:rPr>
            </w:pPr>
            <w:r>
              <w:rPr>
                <w:rFonts w:hint="eastAsia" w:ascii="宋体" w:hAnsi="宋体"/>
                <w:sz w:val="24"/>
                <w:szCs w:val="24"/>
                <w:lang w:val="en-US" w:eastAsia="zh-CN"/>
              </w:rPr>
              <w:t>2</w:t>
            </w:r>
            <w:r>
              <w:rPr>
                <w:rFonts w:ascii="宋体" w:hAnsi="宋体" w:eastAsia="宋体"/>
                <w:sz w:val="24"/>
                <w:szCs w:val="24"/>
                <w:lang w:eastAsia="zh-CN"/>
              </w:rPr>
              <w:t>、</w:t>
            </w:r>
            <w:r>
              <w:rPr>
                <w:rFonts w:hint="eastAsia" w:ascii="宋体" w:hAnsi="宋体" w:cs="宋体"/>
                <w:color w:val="000000"/>
                <w:sz w:val="24"/>
                <w:szCs w:val="24"/>
              </w:rPr>
              <w:t>其余未带“▲”符号参数</w:t>
            </w:r>
            <w:r>
              <w:rPr>
                <w:rFonts w:hint="eastAsia" w:cs="宋体"/>
                <w:color w:val="000000"/>
                <w:sz w:val="24"/>
                <w:szCs w:val="24"/>
              </w:rPr>
              <w:t>为一般技术参数</w:t>
            </w:r>
            <w:r>
              <w:rPr>
                <w:rFonts w:hint="eastAsia" w:ascii="宋体" w:hAnsi="宋体" w:cs="宋体"/>
                <w:color w:val="000000"/>
                <w:sz w:val="24"/>
                <w:szCs w:val="24"/>
              </w:rPr>
              <w:t>（</w:t>
            </w:r>
            <w:r>
              <w:rPr>
                <w:rFonts w:hint="eastAsia" w:cs="宋体"/>
                <w:color w:val="000000"/>
                <w:sz w:val="24"/>
                <w:szCs w:val="24"/>
                <w:lang w:val="en-US" w:eastAsia="zh-CN"/>
              </w:rPr>
              <w:t>99</w:t>
            </w:r>
            <w:r>
              <w:rPr>
                <w:rFonts w:hint="eastAsia" w:ascii="宋体" w:hAnsi="宋体" w:cs="宋体"/>
                <w:color w:val="000000"/>
                <w:sz w:val="24"/>
                <w:szCs w:val="24"/>
              </w:rPr>
              <w:t>条）</w:t>
            </w:r>
            <w:r>
              <w:rPr>
                <w:rFonts w:hint="eastAsia" w:cs="宋体"/>
                <w:color w:val="000000"/>
                <w:sz w:val="24"/>
                <w:szCs w:val="24"/>
              </w:rPr>
              <w:t>，每</w:t>
            </w:r>
            <w:r>
              <w:rPr>
                <w:rFonts w:hint="eastAsia" w:ascii="宋体" w:hAnsi="宋体" w:cs="宋体"/>
                <w:color w:val="000000"/>
                <w:sz w:val="24"/>
                <w:szCs w:val="24"/>
              </w:rPr>
              <w:t>有一项</w:t>
            </w:r>
            <w:r>
              <w:rPr>
                <w:rFonts w:hint="eastAsia" w:cs="宋体"/>
                <w:color w:val="000000"/>
                <w:sz w:val="24"/>
                <w:szCs w:val="24"/>
              </w:rPr>
              <w:t>负偏离</w:t>
            </w:r>
            <w:r>
              <w:rPr>
                <w:rFonts w:hint="eastAsia" w:ascii="宋体" w:hAnsi="宋体" w:cs="宋体"/>
                <w:color w:val="000000"/>
                <w:sz w:val="24"/>
                <w:szCs w:val="24"/>
              </w:rPr>
              <w:t>的扣</w:t>
            </w:r>
            <w:r>
              <w:rPr>
                <w:rFonts w:hint="eastAsia" w:cs="宋体"/>
                <w:color w:val="000000"/>
                <w:sz w:val="24"/>
                <w:szCs w:val="24"/>
                <w:lang w:val="en-US" w:eastAsia="zh-CN"/>
              </w:rPr>
              <w:t>0.15</w:t>
            </w:r>
            <w:r>
              <w:rPr>
                <w:rFonts w:hint="eastAsia" w:ascii="宋体" w:hAnsi="宋体" w:cs="宋体"/>
                <w:color w:val="000000"/>
                <w:sz w:val="24"/>
                <w:szCs w:val="24"/>
              </w:rPr>
              <w:t xml:space="preserve">分，扣完为止。 </w:t>
            </w:r>
          </w:p>
          <w:p>
            <w:pPr>
              <w:pStyle w:val="21"/>
              <w:spacing w:line="360" w:lineRule="auto"/>
              <w:ind w:firstLine="200" w:firstLineChars="100"/>
              <w:jc w:val="both"/>
              <w:rPr>
                <w:rFonts w:hint="default" w:ascii="宋体" w:hAnsi="宋体" w:eastAsia="宋体"/>
                <w:sz w:val="24"/>
                <w:szCs w:val="24"/>
              </w:rPr>
            </w:pPr>
            <w:r>
              <w:rPr>
                <w:rFonts w:hint="eastAsia"/>
              </w:rPr>
              <w:t>注：</w:t>
            </w:r>
            <w:r>
              <w:rPr>
                <w:rFonts w:hint="eastAsia" w:ascii="宋体" w:hAnsi="宋体" w:cs="宋体"/>
                <w:color w:val="000000"/>
                <w:sz w:val="24"/>
              </w:rPr>
              <w:t>以“1、2、3...”标识为一项</w:t>
            </w:r>
          </w:p>
          <w:p>
            <w:pPr>
              <w:pStyle w:val="21"/>
              <w:spacing w:line="360" w:lineRule="auto"/>
              <w:ind w:firstLine="241" w:firstLineChars="100"/>
              <w:jc w:val="both"/>
              <w:rPr>
                <w:rFonts w:hint="default" w:ascii="宋体" w:hAnsi="宋体" w:eastAsia="宋体"/>
                <w:b/>
                <w:bCs/>
                <w:sz w:val="24"/>
                <w:szCs w:val="24"/>
              </w:rPr>
            </w:pPr>
            <w:r>
              <w:rPr>
                <w:rFonts w:ascii="宋体" w:hAnsi="宋体" w:eastAsia="宋体"/>
                <w:b/>
                <w:bCs/>
                <w:sz w:val="24"/>
                <w:szCs w:val="24"/>
              </w:rPr>
              <w:t>说明：</w:t>
            </w:r>
          </w:p>
          <w:p>
            <w:pPr>
              <w:pStyle w:val="21"/>
              <w:spacing w:line="360" w:lineRule="auto"/>
              <w:ind w:firstLine="241" w:firstLineChars="100"/>
              <w:jc w:val="both"/>
              <w:rPr>
                <w:rFonts w:hint="default"/>
                <w:b/>
                <w:bCs/>
                <w:sz w:val="24"/>
                <w:szCs w:val="24"/>
              </w:rPr>
            </w:pPr>
            <w:r>
              <w:rPr>
                <w:rFonts w:hint="default" w:ascii="宋体" w:hAnsi="宋体" w:eastAsia="宋体"/>
                <w:b/>
                <w:bCs/>
                <w:sz w:val="24"/>
                <w:szCs w:val="24"/>
              </w:rPr>
              <w:t>1</w:t>
            </w:r>
            <w:r>
              <w:rPr>
                <w:rFonts w:ascii="宋体" w:hAnsi="宋体" w:eastAsia="宋体"/>
                <w:b/>
                <w:bCs/>
                <w:sz w:val="24"/>
                <w:szCs w:val="24"/>
              </w:rPr>
              <w:t>、检验报告须带能扫描识别检验内容的二维码和提供检测机构官方网址含ICP备案号截图或国家认证认可公示网站查询截图，否则不予认定。</w:t>
            </w:r>
          </w:p>
        </w:tc>
        <w:tc>
          <w:tcPr>
            <w:tcW w:w="1148" w:type="dxa"/>
            <w:vAlign w:val="center"/>
          </w:tcPr>
          <w:p>
            <w:pPr>
              <w:pStyle w:val="20"/>
              <w:spacing w:line="360" w:lineRule="auto"/>
              <w:jc w:val="center"/>
              <w:rPr>
                <w:b/>
                <w:bCs/>
                <w:color w:val="auto"/>
                <w:sz w:val="24"/>
                <w:szCs w:val="24"/>
                <w:lang w:val="zh-TW"/>
              </w:rPr>
            </w:pPr>
            <w:r>
              <w:rPr>
                <w:rFonts w:hint="eastAsia"/>
                <w:color w:val="auto"/>
                <w:sz w:val="24"/>
                <w:szCs w:val="24"/>
              </w:rPr>
              <w:t>共同评审因素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color w:val="auto"/>
                <w:sz w:val="24"/>
                <w:szCs w:val="24"/>
              </w:rPr>
            </w:pPr>
            <w:r>
              <w:rPr>
                <w:rFonts w:hint="eastAsia"/>
                <w:color w:val="auto"/>
                <w:sz w:val="24"/>
                <w:szCs w:val="24"/>
              </w:rPr>
              <w:t>3</w:t>
            </w:r>
          </w:p>
        </w:tc>
        <w:tc>
          <w:tcPr>
            <w:tcW w:w="1264" w:type="dxa"/>
            <w:vAlign w:val="center"/>
          </w:tcPr>
          <w:p>
            <w:pPr>
              <w:pStyle w:val="20"/>
              <w:spacing w:line="360" w:lineRule="auto"/>
              <w:jc w:val="center"/>
              <w:rPr>
                <w:color w:val="auto"/>
                <w:sz w:val="24"/>
                <w:szCs w:val="24"/>
              </w:rPr>
            </w:pPr>
            <w:r>
              <w:rPr>
                <w:sz w:val="24"/>
                <w:szCs w:val="24"/>
              </w:rPr>
              <w:t>履约能力</w:t>
            </w:r>
            <w:r>
              <w:rPr>
                <w:rFonts w:hint="eastAsia"/>
                <w:sz w:val="24"/>
                <w:szCs w:val="24"/>
                <w:lang w:val="en-US" w:eastAsia="zh-CN"/>
              </w:rPr>
              <w:t>2</w:t>
            </w:r>
            <w:r>
              <w:rPr>
                <w:rFonts w:hint="eastAsia"/>
                <w:sz w:val="24"/>
                <w:szCs w:val="24"/>
              </w:rPr>
              <w:t>%</w:t>
            </w:r>
          </w:p>
        </w:tc>
        <w:tc>
          <w:tcPr>
            <w:tcW w:w="611" w:type="dxa"/>
            <w:vAlign w:val="center"/>
          </w:tcPr>
          <w:p>
            <w:pPr>
              <w:pStyle w:val="20"/>
              <w:spacing w:line="360" w:lineRule="auto"/>
              <w:jc w:val="center"/>
              <w:rPr>
                <w:color w:val="auto"/>
                <w:sz w:val="24"/>
                <w:szCs w:val="24"/>
              </w:rPr>
            </w:pPr>
            <w:r>
              <w:rPr>
                <w:rFonts w:hint="eastAsia"/>
                <w:color w:val="auto"/>
                <w:sz w:val="24"/>
                <w:szCs w:val="24"/>
                <w:lang w:val="en-US" w:eastAsia="zh-CN"/>
              </w:rPr>
              <w:t>2</w:t>
            </w:r>
            <w:r>
              <w:rPr>
                <w:rFonts w:hint="eastAsia"/>
                <w:color w:val="auto"/>
                <w:sz w:val="24"/>
                <w:szCs w:val="24"/>
              </w:rPr>
              <w:t>分</w:t>
            </w:r>
          </w:p>
        </w:tc>
        <w:tc>
          <w:tcPr>
            <w:tcW w:w="5120" w:type="dxa"/>
          </w:tcPr>
          <w:p>
            <w:pPr>
              <w:spacing w:line="360" w:lineRule="auto"/>
              <w:ind w:firstLine="240" w:firstLineChars="100"/>
              <w:rPr>
                <w:rFonts w:ascii="宋体" w:hAnsi="宋体" w:cs="宋体"/>
                <w:sz w:val="24"/>
                <w:szCs w:val="24"/>
              </w:rPr>
            </w:pPr>
            <w:r>
              <w:rPr>
                <w:rFonts w:hint="eastAsia" w:ascii="宋体" w:hAnsi="宋体" w:cs="宋体"/>
                <w:sz w:val="24"/>
                <w:szCs w:val="24"/>
              </w:rPr>
              <w:t>1、投标人或制造商具有有效期内的低VOCs家具产品认证证书，包含但不限于：金属柜类，人造板桌类。全部提供且符合的得</w:t>
            </w:r>
            <w:r>
              <w:rPr>
                <w:rFonts w:ascii="宋体" w:hAnsi="宋体" w:cs="宋体"/>
                <w:sz w:val="24"/>
                <w:szCs w:val="24"/>
              </w:rPr>
              <w:t>2</w:t>
            </w:r>
            <w:r>
              <w:rPr>
                <w:rFonts w:hint="eastAsia" w:ascii="宋体" w:hAnsi="宋体" w:cs="宋体"/>
                <w:sz w:val="24"/>
                <w:szCs w:val="24"/>
              </w:rPr>
              <w:t>分，少一项扣1分，扣完为止。</w:t>
            </w:r>
          </w:p>
          <w:p>
            <w:pPr>
              <w:widowControl/>
              <w:spacing w:line="360" w:lineRule="auto"/>
              <w:ind w:firstLine="240" w:firstLineChars="100"/>
              <w:rPr>
                <w:rFonts w:ascii="宋体" w:hAnsi="宋体" w:cs="宋体"/>
                <w:color w:val="333333"/>
                <w:kern w:val="0"/>
                <w:sz w:val="24"/>
                <w:szCs w:val="24"/>
              </w:rPr>
            </w:pPr>
            <w:r>
              <w:rPr>
                <w:rFonts w:ascii="宋体" w:hAnsi="宋体" w:cs="宋体"/>
                <w:sz w:val="24"/>
                <w:szCs w:val="24"/>
              </w:rPr>
              <w:t>说明：以上证书须在官方网站上可查，并提供网页截图。</w:t>
            </w:r>
          </w:p>
        </w:tc>
        <w:tc>
          <w:tcPr>
            <w:tcW w:w="1148" w:type="dxa"/>
            <w:vAlign w:val="center"/>
          </w:tcPr>
          <w:p>
            <w:pPr>
              <w:pStyle w:val="20"/>
              <w:spacing w:line="360" w:lineRule="auto"/>
              <w:jc w:val="center"/>
              <w:rPr>
                <w:b/>
                <w:bCs/>
                <w:color w:val="auto"/>
                <w:sz w:val="24"/>
                <w:szCs w:val="24"/>
                <w:lang w:val="zh-TW"/>
              </w:rPr>
            </w:pPr>
            <w:r>
              <w:rPr>
                <w:rFonts w:hint="eastAsia"/>
                <w:color w:val="auto"/>
                <w:sz w:val="24"/>
                <w:szCs w:val="24"/>
              </w:rPr>
              <w:t>共同评审因素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color w:val="auto"/>
                <w:sz w:val="24"/>
                <w:szCs w:val="24"/>
              </w:rPr>
            </w:pPr>
            <w:r>
              <w:rPr>
                <w:rFonts w:hint="eastAsia"/>
                <w:color w:val="auto"/>
                <w:sz w:val="24"/>
                <w:szCs w:val="24"/>
              </w:rPr>
              <w:t>4</w:t>
            </w:r>
          </w:p>
        </w:tc>
        <w:tc>
          <w:tcPr>
            <w:tcW w:w="1264" w:type="dxa"/>
            <w:vAlign w:val="center"/>
          </w:tcPr>
          <w:p>
            <w:pPr>
              <w:pStyle w:val="20"/>
              <w:spacing w:line="360" w:lineRule="auto"/>
              <w:jc w:val="center"/>
              <w:rPr>
                <w:color w:val="auto"/>
                <w:sz w:val="24"/>
                <w:szCs w:val="24"/>
              </w:rPr>
            </w:pPr>
            <w:r>
              <w:rPr>
                <w:sz w:val="24"/>
                <w:szCs w:val="24"/>
              </w:rPr>
              <w:t>实施方案</w:t>
            </w:r>
            <w:r>
              <w:rPr>
                <w:rFonts w:hint="eastAsia"/>
                <w:sz w:val="24"/>
                <w:szCs w:val="24"/>
              </w:rPr>
              <w:t>5%</w:t>
            </w:r>
          </w:p>
        </w:tc>
        <w:tc>
          <w:tcPr>
            <w:tcW w:w="611" w:type="dxa"/>
            <w:vAlign w:val="center"/>
          </w:tcPr>
          <w:p>
            <w:pPr>
              <w:pStyle w:val="20"/>
              <w:spacing w:line="360" w:lineRule="auto"/>
              <w:jc w:val="center"/>
              <w:rPr>
                <w:color w:val="auto"/>
                <w:sz w:val="24"/>
                <w:szCs w:val="24"/>
              </w:rPr>
            </w:pPr>
            <w:r>
              <w:rPr>
                <w:rFonts w:hint="eastAsia"/>
                <w:color w:val="auto"/>
                <w:sz w:val="24"/>
                <w:szCs w:val="24"/>
              </w:rPr>
              <w:t>5</w:t>
            </w:r>
          </w:p>
          <w:p>
            <w:pPr>
              <w:pStyle w:val="20"/>
              <w:spacing w:line="360" w:lineRule="auto"/>
              <w:jc w:val="center"/>
              <w:rPr>
                <w:color w:val="auto"/>
                <w:sz w:val="24"/>
                <w:szCs w:val="24"/>
              </w:rPr>
            </w:pPr>
            <w:r>
              <w:rPr>
                <w:rFonts w:hint="eastAsia"/>
                <w:color w:val="auto"/>
                <w:sz w:val="24"/>
                <w:szCs w:val="24"/>
              </w:rPr>
              <w:t>分</w:t>
            </w:r>
          </w:p>
        </w:tc>
        <w:tc>
          <w:tcPr>
            <w:tcW w:w="5120" w:type="dxa"/>
            <w:vAlign w:val="center"/>
          </w:tcPr>
          <w:p>
            <w:pPr>
              <w:pStyle w:val="20"/>
              <w:spacing w:line="360" w:lineRule="auto"/>
              <w:ind w:firstLine="240" w:firstLineChars="100"/>
              <w:rPr>
                <w:sz w:val="24"/>
                <w:szCs w:val="24"/>
              </w:rPr>
            </w:pPr>
            <w:r>
              <w:rPr>
                <w:sz w:val="24"/>
                <w:szCs w:val="24"/>
              </w:rPr>
              <w:t>根据投标人提供的实施方案进行综合评审，实施方案包括</w:t>
            </w:r>
            <w:r>
              <w:rPr>
                <w:rFonts w:hint="eastAsia"/>
                <w:sz w:val="24"/>
                <w:szCs w:val="24"/>
              </w:rPr>
              <w:t>：</w:t>
            </w:r>
            <w:r>
              <w:rPr>
                <w:sz w:val="24"/>
                <w:szCs w:val="24"/>
              </w:rPr>
              <w:t>①项目整体实施进度安排情况、</w:t>
            </w:r>
            <w:r>
              <w:rPr>
                <w:sz w:val="24"/>
                <w:szCs w:val="24"/>
              </w:rPr>
              <w:fldChar w:fldCharType="begin"/>
            </w:r>
            <w:r>
              <w:rPr>
                <w:sz w:val="24"/>
                <w:szCs w:val="24"/>
              </w:rPr>
              <w:instrText xml:space="preserve"> = 2 \* GB3 \* MERGEFORMAT </w:instrText>
            </w:r>
            <w:r>
              <w:rPr>
                <w:sz w:val="24"/>
                <w:szCs w:val="24"/>
              </w:rPr>
              <w:fldChar w:fldCharType="separate"/>
            </w:r>
            <w:r>
              <w:rPr>
                <w:sz w:val="24"/>
                <w:szCs w:val="24"/>
              </w:rPr>
              <w:t>②</w:t>
            </w:r>
            <w:r>
              <w:rPr>
                <w:sz w:val="24"/>
                <w:szCs w:val="24"/>
              </w:rPr>
              <w:fldChar w:fldCharType="end"/>
            </w:r>
            <w:r>
              <w:rPr>
                <w:sz w:val="24"/>
                <w:szCs w:val="24"/>
              </w:rPr>
              <w:t>人员配置情况、③质量保障措施、④应急处理方案、⑤安装调试方案</w:t>
            </w:r>
            <w:r>
              <w:rPr>
                <w:rFonts w:hint="eastAsia"/>
                <w:sz w:val="24"/>
                <w:szCs w:val="24"/>
              </w:rPr>
              <w:t>，</w:t>
            </w:r>
            <w:r>
              <w:rPr>
                <w:sz w:val="24"/>
                <w:szCs w:val="24"/>
              </w:rPr>
              <w:t xml:space="preserve">方案包含以上全部内容且无缺陷的得5分；每缺一项扣1分，每一项内容有缺陷的扣0.5分，扣完为止。 </w:t>
            </w:r>
          </w:p>
          <w:p>
            <w:pPr>
              <w:pStyle w:val="20"/>
              <w:spacing w:line="360" w:lineRule="auto"/>
              <w:ind w:firstLine="240" w:firstLineChars="100"/>
              <w:rPr>
                <w:b/>
                <w:bCs/>
                <w:color w:val="auto"/>
                <w:sz w:val="24"/>
                <w:szCs w:val="24"/>
              </w:rPr>
            </w:pPr>
            <w:r>
              <w:rPr>
                <w:sz w:val="24"/>
                <w:szCs w:val="24"/>
              </w:rPr>
              <w:t>说明：内容有缺陷是指：不适用于本项目、对项目需求理解存在偏差、套用其他项目方案、内容前后矛盾、涉及的规范及标准错误、不利于项目实施、相关内容实际操作中不能运用等任意一种情形。</w:t>
            </w:r>
          </w:p>
        </w:tc>
        <w:tc>
          <w:tcPr>
            <w:tcW w:w="1148" w:type="dxa"/>
            <w:vAlign w:val="center"/>
          </w:tcPr>
          <w:p>
            <w:pPr>
              <w:pStyle w:val="20"/>
              <w:spacing w:line="360" w:lineRule="auto"/>
              <w:jc w:val="center"/>
              <w:rPr>
                <w:b/>
                <w:bCs/>
                <w:color w:val="auto"/>
                <w:sz w:val="24"/>
                <w:szCs w:val="24"/>
                <w:lang w:val="zh-TW"/>
              </w:rPr>
            </w:pPr>
            <w:r>
              <w:rPr>
                <w:rFonts w:hint="eastAsia"/>
                <w:color w:val="auto"/>
                <w:sz w:val="24"/>
                <w:szCs w:val="24"/>
              </w:rPr>
              <w:t>共同评审因素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color w:val="auto"/>
                <w:sz w:val="24"/>
                <w:szCs w:val="24"/>
              </w:rPr>
            </w:pPr>
            <w:r>
              <w:rPr>
                <w:rFonts w:hint="eastAsia"/>
                <w:color w:val="auto"/>
                <w:sz w:val="24"/>
                <w:szCs w:val="24"/>
              </w:rPr>
              <w:t>5</w:t>
            </w:r>
          </w:p>
        </w:tc>
        <w:tc>
          <w:tcPr>
            <w:tcW w:w="1264" w:type="dxa"/>
            <w:vAlign w:val="center"/>
          </w:tcPr>
          <w:p>
            <w:pPr>
              <w:pStyle w:val="20"/>
              <w:spacing w:line="360" w:lineRule="auto"/>
              <w:jc w:val="center"/>
              <w:rPr>
                <w:sz w:val="24"/>
                <w:szCs w:val="24"/>
              </w:rPr>
            </w:pPr>
            <w:r>
              <w:rPr>
                <w:sz w:val="24"/>
                <w:szCs w:val="24"/>
              </w:rPr>
              <w:t>售后服务</w:t>
            </w:r>
            <w:r>
              <w:rPr>
                <w:rFonts w:hint="eastAsia"/>
                <w:sz w:val="24"/>
                <w:szCs w:val="24"/>
                <w:lang w:val="en-US" w:eastAsia="zh-CN"/>
              </w:rPr>
              <w:t>12</w:t>
            </w:r>
            <w:r>
              <w:rPr>
                <w:rFonts w:hint="eastAsia"/>
                <w:sz w:val="24"/>
                <w:szCs w:val="24"/>
              </w:rPr>
              <w:t>%</w:t>
            </w:r>
          </w:p>
        </w:tc>
        <w:tc>
          <w:tcPr>
            <w:tcW w:w="611" w:type="dxa"/>
            <w:vAlign w:val="center"/>
          </w:tcPr>
          <w:p>
            <w:pPr>
              <w:pStyle w:val="20"/>
              <w:spacing w:line="360" w:lineRule="auto"/>
              <w:jc w:val="center"/>
              <w:rPr>
                <w:color w:val="auto"/>
                <w:sz w:val="24"/>
                <w:szCs w:val="24"/>
              </w:rPr>
            </w:pPr>
            <w:r>
              <w:rPr>
                <w:rFonts w:hint="eastAsia"/>
                <w:color w:val="auto"/>
                <w:sz w:val="24"/>
                <w:szCs w:val="24"/>
                <w:lang w:val="en-US" w:eastAsia="zh-CN"/>
              </w:rPr>
              <w:t>12</w:t>
            </w:r>
            <w:r>
              <w:rPr>
                <w:rFonts w:hint="eastAsia"/>
                <w:color w:val="auto"/>
                <w:sz w:val="24"/>
                <w:szCs w:val="24"/>
              </w:rPr>
              <w:t>分</w:t>
            </w:r>
          </w:p>
        </w:tc>
        <w:tc>
          <w:tcPr>
            <w:tcW w:w="5120" w:type="dxa"/>
          </w:tcPr>
          <w:p>
            <w:pPr>
              <w:widowControl/>
              <w:spacing w:line="360" w:lineRule="auto"/>
              <w:ind w:firstLine="240" w:firstLineChars="100"/>
              <w:rPr>
                <w:rFonts w:ascii="宋体" w:hAnsi="宋体"/>
                <w:sz w:val="24"/>
                <w:szCs w:val="24"/>
              </w:rPr>
            </w:pPr>
            <w:r>
              <w:rPr>
                <w:rFonts w:ascii="宋体" w:hAnsi="宋体"/>
                <w:sz w:val="24"/>
                <w:szCs w:val="24"/>
              </w:rPr>
              <w:t>投标人结合本项目理解提供售后服务方案，内容包括</w:t>
            </w:r>
            <w:r>
              <w:rPr>
                <w:rFonts w:hint="eastAsia" w:ascii="宋体" w:hAnsi="宋体"/>
                <w:sz w:val="24"/>
                <w:szCs w:val="24"/>
              </w:rPr>
              <w:t>：</w:t>
            </w:r>
            <w:r>
              <w:rPr>
                <w:rFonts w:ascii="宋体" w:hAnsi="宋体"/>
                <w:sz w:val="24"/>
                <w:szCs w:val="24"/>
              </w:rPr>
              <w:t>①售后人员配置方案及分工（提供人员清单、售后经验）；②现场服务支持能力（包括售后服务电话、售后服务网点、响应时效）；③售后巡检方案及质量保证制度；④紧急维修措施；⑤售后培训计划及培训内容；⑥售后服务监督措施（包含客户服务质量反馈渠道及有效解决措施、投诉处理）；⑦整个项目实施过程涉及到的资料、数据整理及保管方案（包含各环节涉及产品的安装调试记录、验收记录、各流程数据汇总保管处理措施等）；⑧提供售后服务承诺。方案包含以上全部内容且无缺陷的得</w:t>
            </w:r>
            <w:r>
              <w:rPr>
                <w:rFonts w:hint="eastAsia" w:ascii="宋体" w:hAnsi="宋体"/>
                <w:sz w:val="24"/>
                <w:szCs w:val="24"/>
                <w:lang w:val="en-US" w:eastAsia="zh-CN"/>
              </w:rPr>
              <w:t>12</w:t>
            </w:r>
            <w:r>
              <w:rPr>
                <w:rFonts w:ascii="宋体" w:hAnsi="宋体"/>
                <w:sz w:val="24"/>
                <w:szCs w:val="24"/>
              </w:rPr>
              <w:t>分，每缺一项扣1</w:t>
            </w:r>
            <w:r>
              <w:rPr>
                <w:rFonts w:hint="eastAsia" w:ascii="宋体" w:hAnsi="宋体"/>
                <w:sz w:val="24"/>
                <w:szCs w:val="24"/>
                <w:lang w:val="en-US" w:eastAsia="zh-CN"/>
              </w:rPr>
              <w:t>.5</w:t>
            </w:r>
            <w:r>
              <w:rPr>
                <w:rFonts w:ascii="宋体" w:hAnsi="宋体"/>
                <w:sz w:val="24"/>
                <w:szCs w:val="24"/>
              </w:rPr>
              <w:t>分，每一项内容有缺陷的扣</w:t>
            </w:r>
            <w:r>
              <w:rPr>
                <w:rFonts w:hint="eastAsia" w:ascii="宋体" w:hAnsi="宋体"/>
                <w:sz w:val="24"/>
                <w:szCs w:val="24"/>
                <w:lang w:val="en-US" w:eastAsia="zh-CN"/>
              </w:rPr>
              <w:t>0.75</w:t>
            </w:r>
            <w:r>
              <w:rPr>
                <w:rFonts w:ascii="宋体" w:hAnsi="宋体"/>
                <w:sz w:val="24"/>
                <w:szCs w:val="24"/>
              </w:rPr>
              <w:t xml:space="preserve">分，扣完为止。 </w:t>
            </w:r>
          </w:p>
          <w:p>
            <w:pPr>
              <w:widowControl/>
              <w:spacing w:line="360" w:lineRule="auto"/>
              <w:ind w:firstLine="240" w:firstLineChars="100"/>
              <w:rPr>
                <w:rFonts w:ascii="宋体" w:hAnsi="宋体" w:cs="宋体"/>
                <w:color w:val="333333"/>
                <w:kern w:val="0"/>
                <w:sz w:val="24"/>
                <w:szCs w:val="24"/>
              </w:rPr>
            </w:pPr>
            <w:r>
              <w:rPr>
                <w:rFonts w:ascii="宋体" w:hAnsi="宋体"/>
                <w:sz w:val="24"/>
                <w:szCs w:val="24"/>
              </w:rPr>
              <w:t>说明：内容有缺陷是指：不适用于本项目、对项目需求理解存在偏差、套用其他项目方案、内容前后矛盾、涉及的规范及标准错误、不利于项目实施、相关内容实际操作中不能运用等任意一种情形</w:t>
            </w:r>
          </w:p>
        </w:tc>
        <w:tc>
          <w:tcPr>
            <w:tcW w:w="1148" w:type="dxa"/>
            <w:vAlign w:val="center"/>
          </w:tcPr>
          <w:p>
            <w:pPr>
              <w:pStyle w:val="20"/>
              <w:spacing w:line="360" w:lineRule="auto"/>
              <w:jc w:val="center"/>
              <w:rPr>
                <w:b/>
                <w:bCs/>
                <w:color w:val="auto"/>
                <w:sz w:val="24"/>
                <w:szCs w:val="24"/>
                <w:lang w:val="zh-TW"/>
              </w:rPr>
            </w:pPr>
            <w:r>
              <w:rPr>
                <w:rFonts w:hint="eastAsia"/>
                <w:color w:val="auto"/>
                <w:sz w:val="24"/>
                <w:szCs w:val="24"/>
              </w:rPr>
              <w:t>共同评审因素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dxa"/>
            <w:vAlign w:val="center"/>
          </w:tcPr>
          <w:p>
            <w:pPr>
              <w:pStyle w:val="20"/>
              <w:spacing w:line="360" w:lineRule="auto"/>
              <w:jc w:val="center"/>
              <w:rPr>
                <w:color w:val="auto"/>
                <w:sz w:val="24"/>
                <w:szCs w:val="24"/>
              </w:rPr>
            </w:pPr>
            <w:r>
              <w:rPr>
                <w:rFonts w:hint="eastAsia"/>
                <w:color w:val="auto"/>
                <w:sz w:val="24"/>
                <w:szCs w:val="24"/>
              </w:rPr>
              <w:t>6</w:t>
            </w:r>
          </w:p>
        </w:tc>
        <w:tc>
          <w:tcPr>
            <w:tcW w:w="1264" w:type="dxa"/>
            <w:vAlign w:val="center"/>
          </w:tcPr>
          <w:p>
            <w:pPr>
              <w:pStyle w:val="20"/>
              <w:spacing w:line="360" w:lineRule="auto"/>
              <w:jc w:val="center"/>
              <w:rPr>
                <w:sz w:val="24"/>
                <w:szCs w:val="24"/>
              </w:rPr>
            </w:pPr>
            <w:r>
              <w:rPr>
                <w:sz w:val="24"/>
                <w:szCs w:val="24"/>
              </w:rPr>
              <w:t>节能、环境标志、无线局域网产品</w:t>
            </w:r>
          </w:p>
          <w:p>
            <w:pPr>
              <w:pStyle w:val="20"/>
              <w:spacing w:line="360" w:lineRule="auto"/>
              <w:jc w:val="center"/>
              <w:rPr>
                <w:sz w:val="24"/>
                <w:szCs w:val="24"/>
              </w:rPr>
            </w:pPr>
            <w:r>
              <w:rPr>
                <w:rFonts w:hint="eastAsia"/>
                <w:sz w:val="24"/>
                <w:szCs w:val="24"/>
              </w:rPr>
              <w:t>1%</w:t>
            </w:r>
          </w:p>
        </w:tc>
        <w:tc>
          <w:tcPr>
            <w:tcW w:w="611" w:type="dxa"/>
            <w:vAlign w:val="center"/>
          </w:tcPr>
          <w:p>
            <w:pPr>
              <w:pStyle w:val="20"/>
              <w:spacing w:line="360" w:lineRule="auto"/>
              <w:jc w:val="center"/>
              <w:rPr>
                <w:color w:val="auto"/>
                <w:sz w:val="24"/>
                <w:szCs w:val="24"/>
              </w:rPr>
            </w:pPr>
            <w:r>
              <w:rPr>
                <w:rFonts w:hint="eastAsia"/>
                <w:color w:val="auto"/>
                <w:sz w:val="24"/>
                <w:szCs w:val="24"/>
              </w:rPr>
              <w:t>1分</w:t>
            </w:r>
          </w:p>
        </w:tc>
        <w:tc>
          <w:tcPr>
            <w:tcW w:w="5120" w:type="dxa"/>
          </w:tcPr>
          <w:p>
            <w:pPr>
              <w:widowControl/>
              <w:spacing w:line="360" w:lineRule="auto"/>
              <w:ind w:firstLine="240" w:firstLineChars="100"/>
              <w:rPr>
                <w:rFonts w:ascii="宋体" w:hAnsi="宋体"/>
                <w:sz w:val="24"/>
                <w:szCs w:val="24"/>
              </w:rPr>
            </w:pPr>
            <w:r>
              <w:rPr>
                <w:rFonts w:ascii="宋体" w:hAnsi="宋体"/>
                <w:sz w:val="24"/>
                <w:szCs w:val="24"/>
              </w:rPr>
              <w:t>投标产品中每有一项产品属于节能产品或环境标志品目清单范围认证的得0.5分，最高1分。投标人应提供国家确定的认证机构出具的、处于有效期之内的节能产品或环境标志产品认证证书复印资料（国家强制性要求的产品除外）。</w:t>
            </w:r>
          </w:p>
        </w:tc>
        <w:tc>
          <w:tcPr>
            <w:tcW w:w="1148" w:type="dxa"/>
            <w:vAlign w:val="center"/>
          </w:tcPr>
          <w:p>
            <w:pPr>
              <w:pStyle w:val="20"/>
              <w:spacing w:line="360" w:lineRule="auto"/>
              <w:jc w:val="center"/>
              <w:rPr>
                <w:b/>
                <w:bCs/>
                <w:color w:val="auto"/>
                <w:sz w:val="24"/>
                <w:szCs w:val="24"/>
              </w:rPr>
            </w:pPr>
            <w:r>
              <w:rPr>
                <w:rFonts w:hint="eastAsia"/>
                <w:color w:val="auto"/>
                <w:sz w:val="24"/>
                <w:szCs w:val="24"/>
              </w:rPr>
              <w:t>共同评审因素</w:t>
            </w:r>
          </w:p>
        </w:tc>
      </w:tr>
    </w:tbl>
    <w:p>
      <w:pPr>
        <w:pStyle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kYTlkMmNiYmRiNjFkMjQ2MjQyYTFkYzZlMDVlOWUifQ=="/>
  </w:docVars>
  <w:rsids>
    <w:rsidRoot w:val="3DA04782"/>
    <w:rsid w:val="000C469A"/>
    <w:rsid w:val="00174EBD"/>
    <w:rsid w:val="00332622"/>
    <w:rsid w:val="003C5503"/>
    <w:rsid w:val="007C1D73"/>
    <w:rsid w:val="0080283B"/>
    <w:rsid w:val="008B094D"/>
    <w:rsid w:val="00921391"/>
    <w:rsid w:val="00AE7C1B"/>
    <w:rsid w:val="00DA2CC2"/>
    <w:rsid w:val="018502B5"/>
    <w:rsid w:val="01EE5E5A"/>
    <w:rsid w:val="0228247C"/>
    <w:rsid w:val="074917EE"/>
    <w:rsid w:val="11666117"/>
    <w:rsid w:val="15347BD0"/>
    <w:rsid w:val="16B7748A"/>
    <w:rsid w:val="1846154C"/>
    <w:rsid w:val="19AC02CE"/>
    <w:rsid w:val="1FFE5062"/>
    <w:rsid w:val="20097E44"/>
    <w:rsid w:val="25046CFD"/>
    <w:rsid w:val="253F733B"/>
    <w:rsid w:val="25A807D4"/>
    <w:rsid w:val="27B248E1"/>
    <w:rsid w:val="29192782"/>
    <w:rsid w:val="2A290992"/>
    <w:rsid w:val="2DAD00C8"/>
    <w:rsid w:val="2FC33BD3"/>
    <w:rsid w:val="34515B67"/>
    <w:rsid w:val="35175900"/>
    <w:rsid w:val="39292FF1"/>
    <w:rsid w:val="3DA04782"/>
    <w:rsid w:val="4006103B"/>
    <w:rsid w:val="413B7A6D"/>
    <w:rsid w:val="43452E25"/>
    <w:rsid w:val="444E25AB"/>
    <w:rsid w:val="4E656477"/>
    <w:rsid w:val="4F8A3998"/>
    <w:rsid w:val="50A078EC"/>
    <w:rsid w:val="525210BA"/>
    <w:rsid w:val="5CD94447"/>
    <w:rsid w:val="65105499"/>
    <w:rsid w:val="684E2CEF"/>
    <w:rsid w:val="6B033421"/>
    <w:rsid w:val="6CDC7AA6"/>
    <w:rsid w:val="6EC407F2"/>
    <w:rsid w:val="6F402D2D"/>
    <w:rsid w:val="71B341DA"/>
    <w:rsid w:val="7265409A"/>
    <w:rsid w:val="746D7236"/>
    <w:rsid w:val="7B250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2"/>
    <w:basedOn w:val="1"/>
    <w:next w:val="1"/>
    <w:unhideWhenUsed/>
    <w:qFormat/>
    <w:uiPriority w:val="0"/>
    <w:pPr>
      <w:keepNext/>
      <w:keepLines/>
      <w:spacing w:before="260" w:after="260" w:line="415" w:lineRule="auto"/>
      <w:outlineLvl w:val="1"/>
    </w:pPr>
    <w:rPr>
      <w:rFonts w:ascii="Arial" w:hAnsi="Arial" w:eastAsia="黑体"/>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rPr>
      <w:szCs w:val="24"/>
    </w:rPr>
  </w:style>
  <w:style w:type="paragraph" w:styleId="5">
    <w:name w:val="Normal Indent"/>
    <w:basedOn w:val="1"/>
    <w:qFormat/>
    <w:uiPriority w:val="0"/>
    <w:pPr>
      <w:ind w:firstLine="200" w:firstLineChars="200"/>
    </w:pPr>
  </w:style>
  <w:style w:type="paragraph" w:styleId="6">
    <w:name w:val="annotation text"/>
    <w:basedOn w:val="1"/>
    <w:link w:val="22"/>
    <w:qFormat/>
    <w:uiPriority w:val="0"/>
    <w:pPr>
      <w:jc w:val="left"/>
    </w:pPr>
  </w:style>
  <w:style w:type="paragraph" w:styleId="7">
    <w:name w:val="Body Text"/>
    <w:basedOn w:val="1"/>
    <w:next w:val="8"/>
    <w:qFormat/>
    <w:uiPriority w:val="1"/>
    <w:rPr>
      <w:sz w:val="24"/>
    </w:rPr>
  </w:style>
  <w:style w:type="paragraph" w:styleId="8">
    <w:name w:val="Body Text First Indent"/>
    <w:basedOn w:val="7"/>
    <w:qFormat/>
    <w:uiPriority w:val="0"/>
    <w:pPr>
      <w:ind w:firstLine="420" w:firstLineChars="100"/>
    </w:pPr>
    <w:rPr>
      <w:sz w:val="18"/>
      <w:szCs w:val="18"/>
    </w:rPr>
  </w:style>
  <w:style w:type="paragraph" w:styleId="9">
    <w:name w:val="Plain Text"/>
    <w:basedOn w:val="1"/>
    <w:next w:val="1"/>
    <w:qFormat/>
    <w:uiPriority w:val="0"/>
    <w:rPr>
      <w:rFonts w:ascii="宋体" w:hAnsi="Courier New"/>
      <w:szCs w:val="21"/>
    </w:rPr>
  </w:style>
  <w:style w:type="paragraph" w:styleId="10">
    <w:name w:val="annotation subject"/>
    <w:basedOn w:val="6"/>
    <w:next w:val="6"/>
    <w:link w:val="23"/>
    <w:qFormat/>
    <w:uiPriority w:val="0"/>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qFormat/>
    <w:uiPriority w:val="0"/>
    <w:rPr>
      <w:sz w:val="21"/>
      <w:szCs w:val="21"/>
    </w:rPr>
  </w:style>
  <w:style w:type="paragraph" w:customStyle="1" w:styleId="15">
    <w:name w:val="样式 首行缩进:  2 字符"/>
    <w:basedOn w:val="1"/>
    <w:qFormat/>
    <w:uiPriority w:val="0"/>
    <w:pPr>
      <w:ind w:firstLine="200"/>
    </w:pPr>
    <w:rPr>
      <w:rFonts w:ascii="宋体" w:hAnsi="宋体"/>
      <w:sz w:val="24"/>
      <w:szCs w:val="24"/>
    </w:rPr>
  </w:style>
  <w:style w:type="character" w:customStyle="1" w:styleId="16">
    <w:name w:val="font11"/>
    <w:basedOn w:val="13"/>
    <w:qFormat/>
    <w:uiPriority w:val="0"/>
    <w:rPr>
      <w:rFonts w:hint="eastAsia" w:ascii="宋体" w:hAnsi="宋体" w:eastAsia="宋体" w:cs="宋体"/>
      <w:color w:val="000000"/>
      <w:sz w:val="21"/>
      <w:szCs w:val="21"/>
      <w:u w:val="none"/>
    </w:rPr>
  </w:style>
  <w:style w:type="character" w:customStyle="1" w:styleId="17">
    <w:name w:val="font21"/>
    <w:basedOn w:val="13"/>
    <w:qFormat/>
    <w:uiPriority w:val="0"/>
    <w:rPr>
      <w:rFonts w:hint="eastAsia" w:ascii="黑体" w:hAnsi="宋体" w:eastAsia="黑体" w:cs="黑体"/>
      <w:color w:val="000000"/>
      <w:sz w:val="20"/>
      <w:szCs w:val="20"/>
      <w:u w:val="none"/>
    </w:rPr>
  </w:style>
  <w:style w:type="character" w:customStyle="1" w:styleId="18">
    <w:name w:val="font41"/>
    <w:basedOn w:val="13"/>
    <w:qFormat/>
    <w:uiPriority w:val="0"/>
    <w:rPr>
      <w:rFonts w:hint="eastAsia" w:ascii="宋体" w:hAnsi="宋体" w:eastAsia="宋体" w:cs="宋体"/>
      <w:color w:val="000000"/>
      <w:sz w:val="21"/>
      <w:szCs w:val="21"/>
      <w:u w:val="none"/>
    </w:rPr>
  </w:style>
  <w:style w:type="character" w:customStyle="1" w:styleId="19">
    <w:name w:val="font51"/>
    <w:basedOn w:val="13"/>
    <w:qFormat/>
    <w:uiPriority w:val="0"/>
    <w:rPr>
      <w:rFonts w:hint="eastAsia" w:ascii="宋体" w:hAnsi="宋体" w:eastAsia="宋体" w:cs="宋体"/>
      <w:color w:val="000000"/>
      <w:sz w:val="21"/>
      <w:szCs w:val="21"/>
      <w:u w:val="none"/>
    </w:rPr>
  </w:style>
  <w:style w:type="paragraph" w:customStyle="1" w:styleId="20">
    <w:name w:val="正文 A"/>
    <w:qFormat/>
    <w:uiPriority w:val="0"/>
    <w:pPr>
      <w:widowControl w:val="0"/>
      <w:jc w:val="both"/>
    </w:pPr>
    <w:rPr>
      <w:rFonts w:ascii="宋体" w:hAnsi="宋体" w:eastAsia="宋体" w:cs="宋体"/>
      <w:color w:val="000000"/>
      <w:sz w:val="34"/>
      <w:szCs w:val="34"/>
      <w:lang w:val="en-US" w:eastAsia="zh-CN" w:bidi="ar-SA"/>
    </w:rPr>
  </w:style>
  <w:style w:type="paragraph" w:customStyle="1" w:styleId="21">
    <w:name w:val="null3"/>
    <w:hidden/>
    <w:qFormat/>
    <w:uiPriority w:val="0"/>
    <w:rPr>
      <w:rFonts w:hint="eastAsia" w:asciiTheme="minorHAnsi" w:hAnsiTheme="minorHAnsi" w:eastAsiaTheme="minorEastAsia" w:cstheme="minorBidi"/>
      <w:lang w:val="en-US" w:eastAsia="zh-Hans" w:bidi="ar-SA"/>
    </w:rPr>
  </w:style>
  <w:style w:type="character" w:customStyle="1" w:styleId="22">
    <w:name w:val="批注文字 字符"/>
    <w:basedOn w:val="13"/>
    <w:link w:val="6"/>
    <w:qFormat/>
    <w:uiPriority w:val="0"/>
    <w:rPr>
      <w:kern w:val="2"/>
      <w:sz w:val="21"/>
      <w:szCs w:val="22"/>
    </w:rPr>
  </w:style>
  <w:style w:type="character" w:customStyle="1" w:styleId="23">
    <w:name w:val="批注主题 字符"/>
    <w:basedOn w:val="22"/>
    <w:link w:val="10"/>
    <w:qFormat/>
    <w:uiPriority w:val="0"/>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1412</Words>
  <Characters>8055</Characters>
  <Lines>67</Lines>
  <Paragraphs>18</Paragraphs>
  <TotalTime>69</TotalTime>
  <ScaleCrop>false</ScaleCrop>
  <LinksUpToDate>false</LinksUpToDate>
  <CharactersWithSpaces>9449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2023-08-17T03:24:00Z</dcterms:created>
  <dc:creator>代理机构</dc:creator>
  <cp:lastModifiedBy>文白。</cp:lastModifiedBy>
  <dcterms:modified xsi:type="dcterms:W3CDTF">2023-08-21T11:34:25Z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487CBF0383074668AB98F4622379DA03_13</vt:lpwstr>
  </property>
</Properties>
</file>